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POLITYKA PRYWATNOŚCI</w:t>
      </w:r>
    </w:p>
    <w:p>
      <w:pPr>
        <w:jc w:val="center"/>
      </w:pPr>
      <w:r>
        <w:rPr>
          <w:i/>
          <w:sz w:val="20"/>
        </w:rPr>
        <w:t>Ekosystem AUTERA · wersja ____________ · obowiązuje od dnia ____________ r.</w:t>
      </w:r>
    </w:p>
    <w:p>
      <w:r>
        <w:t>Niniejsza Polityka opisuje zasady przetwarzania danych osobowych oraz prawa osób, których dane dotyczą, w związku z korzystaniem z Ekosystemu Autera i udostępnianych w jego ramach narzędzi (czat, formularze, asystent głosowy, strony salonów, marketplace). Dokładamy starań, aby przetwarzanie było zgodne z RODO oraz zasadą przejrzystości.</w:t>
      </w:r>
    </w:p>
    <w:p>
      <w:r>
        <w:rPr>
          <w:b/>
          <w:sz w:val="25"/>
        </w:rPr>
        <w:t>§ 1. Administrator i kontakt</w:t>
      </w:r>
    </w:p>
    <w:p>
      <w:r>
        <w:t>1. Administratorem danych w zakresie serwisu autera.aprohub.pl oraz funkcjonowania Ekosystemu jest Autera sp. z o.o. z siedzibą w ____________, ul. ____________, ____________, wpisaną do rejestru przedsiębiorców KRS pod nr ____________, NIP ____________, REGON ____________, kapitał zakładowy ____________ zł, reprezentowana przez ____________ („Autera”).</w:t>
      </w:r>
    </w:p>
    <w:p>
      <w:r>
        <w:t>2. W zakresie danych klientów (leadów) pozyskiwanych na rzecz salonu Administratorem jest odpowiedni salon lub dystrybutor, a Autera działa jako podmiot przetwarzający na podstawie umowy powierzenia (DPA).</w:t>
      </w:r>
    </w:p>
    <w:p>
      <w:r>
        <w:t>3. Kontakt w sprawach danych osobowych: [DO UZUPEŁNIENIA: adres e-mail / dane inspektora ochrony danych, jeśli powołano].</w:t>
      </w:r>
    </w:p>
    <w:p>
      <w:r>
        <w:rPr>
          <w:b/>
          <w:sz w:val="25"/>
        </w:rPr>
        <w:t>§ 2. Zakres przetwarzanych danych</w:t>
      </w:r>
    </w:p>
    <w:p>
      <w:pPr>
        <w:pStyle w:val="ListBullet"/>
      </w:pPr>
      <w:r>
        <w:t>dane identyfikacyjne i kontaktowe: imię, nazwisko, telefon, e-mail;</w:t>
      </w:r>
    </w:p>
    <w:p>
      <w:pPr>
        <w:pStyle w:val="ListBullet"/>
      </w:pPr>
      <w:r>
        <w:t>dane dotyczące zapytania: marka/model, budżet, preferencje, forma finansowania, treść korespondencji i rozmów;</w:t>
      </w:r>
    </w:p>
    <w:p>
      <w:pPr>
        <w:pStyle w:val="ListBullet"/>
      </w:pPr>
      <w:r>
        <w:t>nagrania i transkrypcje rozmów telefonicznych oraz metadane połączeń;</w:t>
      </w:r>
    </w:p>
    <w:p>
      <w:pPr>
        <w:pStyle w:val="ListBullet"/>
      </w:pPr>
      <w:r>
        <w:t>dane techniczne: adres IP, identyfikatory urządzenia i sesji, pliki cookie;</w:t>
      </w:r>
    </w:p>
    <w:p>
      <w:pPr>
        <w:pStyle w:val="ListBullet"/>
      </w:pPr>
      <w:r>
        <w:t>dane służbowe handlowców — w zakresie analizy jakości rozmów.</w:t>
      </w:r>
    </w:p>
    <w:p>
      <w:r>
        <w:rPr>
          <w:b/>
          <w:sz w:val="25"/>
        </w:rPr>
        <w:t>§ 3. Cele i podstawy prawne przetwarzania</w:t>
      </w:r>
    </w:p>
    <w:p>
      <w:pPr>
        <w:pStyle w:val="ListBullet"/>
      </w:pPr>
      <w:r>
        <w:t>obsługa zapytania, kontakt i umówienie jazdy próbnej — art. 6 ust. 1 lit. b RODO (umowa lub działania przed jej zawarciem);</w:t>
      </w:r>
    </w:p>
    <w:p>
      <w:pPr>
        <w:pStyle w:val="ListBullet"/>
      </w:pPr>
      <w:r>
        <w:t>obsługa leadów, analiza jakości i doskonalenie procesu sprzedaży, marketing własny, zapewnienie bezpieczeństwa oraz dochodzenie i obrona roszczeń — art. 6 ust. 1 lit. f RODO (prawnie uzasadniony interes);</w:t>
      </w:r>
    </w:p>
    <w:p>
      <w:pPr>
        <w:pStyle w:val="ListBullet"/>
      </w:pPr>
      <w:r>
        <w:t>działania marketingowe wymagające zgody oraz pliki cookie inne niż niezbędne — art. 6 ust. 1 lit. a RODO (zgoda);</w:t>
      </w:r>
    </w:p>
    <w:p>
      <w:pPr>
        <w:pStyle w:val="ListBullet"/>
      </w:pPr>
      <w:r>
        <w:t>wypełnienie obowiązków prawnych (np. rachunkowo-podatkowych) — art. 6 ust. 1 lit. c RODO.</w:t>
      </w:r>
    </w:p>
    <w:p>
      <w:r>
        <w:rPr>
          <w:b/>
          <w:sz w:val="25"/>
        </w:rPr>
        <w:t>§ 4. Asystent AI, nagrywanie i automatyzacja</w:t>
      </w:r>
    </w:p>
    <w:p>
      <w:r>
        <w:t>1. W obsłudze wykorzystujemy narzędzia sztucznej inteligencji (czat oraz asystent głosowy). Rozmowy telefoniczne mogą być nagrywane i transkrybowane w celu obsługi zapytania oraz poprawy jakości — o czym informujemy na początku rozmowy.</w:t>
      </w:r>
    </w:p>
    <w:p>
      <w:r>
        <w:t>2. Nie podejmujemy wobec osób decyzji opierających się wyłącznie na zautomatyzowanym przetwarzaniu, wywołujących skutki prawne lub w podobny sposób istotnie wpływających na osobę (art. 22 RODO), chyba że na podstawie odrębnej zgody lub przepisu prawa.</w:t>
      </w:r>
    </w:p>
    <w:p>
      <w:r>
        <w:rPr>
          <w:b/>
          <w:sz w:val="25"/>
        </w:rPr>
        <w:t>§ 5. Odbiorcy danych i podmioty przetwarzające</w:t>
      </w:r>
    </w:p>
    <w:p>
      <w:r>
        <w:t>Dane mogą być powierzane podmiotom wspierającym działanie Ekosystemu: dostawcom modeli AI (OpenAI), telefonii (Twilio), transkrypcji (AssemblyAI), hostingu oraz usług IT, a także — w razie potrzeby — doradcom prawnym i księgowym. Zakres i zasady powierzenia określa DPA.</w:t>
      </w:r>
    </w:p>
    <w:p>
      <w:r>
        <w:rPr>
          <w:b/>
          <w:sz w:val="25"/>
        </w:rPr>
        <w:t>§ 6. Przekazywanie danych poza EOG</w:t>
      </w:r>
    </w:p>
    <w:p>
      <w:r>
        <w:t>Część odbiorców ma siedzibę w USA. Przekazywanie odbywa się na podstawie EU–US Data Privacy Framework oraz/lub standardowych klauzul umownych (SCC), z zastosowaniem dodatkowych zabezpieczeń. Kopię odpowiednich zabezpieczeń można uzyskać, kontaktując się z nami.</w:t>
      </w:r>
    </w:p>
    <w:p>
      <w:r>
        <w:rPr>
          <w:b/>
          <w:sz w:val="25"/>
        </w:rPr>
        <w:t>§ 7. Okres przechowywania</w:t>
      </w:r>
    </w:p>
    <w:p>
      <w:pPr>
        <w:pStyle w:val="ListBullet"/>
      </w:pPr>
      <w:r>
        <w:t>dane leadów — przez czas obsługi sprawy oraz do upływu terminów przedawnienia ewentualnych roszczeń;</w:t>
      </w:r>
    </w:p>
    <w:p>
      <w:pPr>
        <w:pStyle w:val="ListBullet"/>
      </w:pPr>
      <w:r>
        <w:t>nagrania i transkrypcje — przez okres niezbędny do celu, nie dłużej niż [DO UZUPEŁNIENIA, np. 12 miesięcy];</w:t>
      </w:r>
    </w:p>
    <w:p>
      <w:pPr>
        <w:pStyle w:val="ListBullet"/>
      </w:pPr>
      <w:r>
        <w:t>dane rozliczeniowe — przez okres wymagany przepisami prawa (co do zasady 5 lat);</w:t>
      </w:r>
    </w:p>
    <w:p>
      <w:pPr>
        <w:pStyle w:val="ListBullet"/>
      </w:pPr>
      <w:r>
        <w:t>dane przetwarzane na podstawie zgody — do czasu jej wycofania.</w:t>
      </w:r>
    </w:p>
    <w:p>
      <w:r>
        <w:rPr>
          <w:b/>
          <w:sz w:val="25"/>
        </w:rPr>
        <w:t>§ 8. Prawa osób, których dane dotyczą</w:t>
      </w:r>
    </w:p>
    <w:p>
      <w:r>
        <w:t>Przysługuje prawo dostępu do danych, sprostowania, usunięcia, ograniczenia przetwarzania, przenoszenia danych, wniesienia sprzeciwu (wobec przetwarzania opartego na prawnie uzasadnionym interesie) oraz cofnięcia zgody w dowolnym momencie (bez wpływu na zgodność z prawem przetwarzania przed cofnięciem). Przysługuje także prawo wniesienia skargi do Prezesa Urzędu Ochrony Danych Osobowych.</w:t>
      </w:r>
    </w:p>
    <w:p>
      <w:r>
        <w:rPr>
          <w:b/>
          <w:sz w:val="25"/>
        </w:rPr>
        <w:t>§ 9. Dobrowolność podania danych</w:t>
      </w:r>
    </w:p>
    <w:p>
      <w:r>
        <w:t>Podanie danych jest dobrowolne, lecz niezbędne do obsługi zapytania, kontaktu oraz umówienia jazdy próbnej; brak podania danych uniemożliwia realizację tych celów.</w:t>
      </w:r>
    </w:p>
    <w:p>
      <w:r>
        <w:rPr>
          <w:b/>
          <w:sz w:val="25"/>
        </w:rPr>
        <w:t>§ 10. Pliki cookie</w:t>
      </w:r>
    </w:p>
    <w:p>
      <w:r>
        <w:t>Zasady stosowania plików cookie oraz technologii podobnych określa odrębna Polityka cookies.</w:t>
      </w:r>
    </w:p>
    <w:p>
      <w:r>
        <w:rPr>
          <w:b/>
          <w:sz w:val="25"/>
        </w:rPr>
        <w:t>§ 11. Zmiany Polityki</w:t>
      </w:r>
    </w:p>
    <w:p>
      <w:r>
        <w:t>Polityka może być okresowo aktualizowana. Obowiązuje wersja opublikowana w serwisie wraz ze wskazaną datą; o istotnych zmianach informujemy w sposób zwyczajowo przyjęty.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