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KLAUZULA INFORMACYJNA (RODO, art. 13)</w:t>
      </w:r>
    </w:p>
    <w:p>
      <w:pPr>
        <w:jc w:val="center"/>
      </w:pPr>
      <w:r>
        <w:rPr>
          <w:i/>
          <w:sz w:val="20"/>
        </w:rPr>
        <w:t>do formularzy kontaktowych oraz rozmów telefonicznych</w:t>
      </w:r>
    </w:p>
    <w:p>
      <w:r>
        <w:t>Zgodnie z art. 13 ust. 1 i 2 RODO informujemy:</w:t>
      </w:r>
    </w:p>
    <w:p>
      <w:pPr>
        <w:pStyle w:val="ListBullet"/>
      </w:pPr>
      <w:r>
        <w:t>Administratorem Państwa danych jest [salon / dystrybutor — pełne dane]; obsługę techniczną zapewnia Autera jako podmiot przetwarzający na podstawie umowy powierzenia.</w:t>
      </w:r>
    </w:p>
    <w:p>
      <w:pPr>
        <w:pStyle w:val="ListBullet"/>
      </w:pPr>
      <w:r>
        <w:t>Kontakt w sprawach danych: [DO UZUPEŁNIENIA: e-mail / inspektor ochrony danych].</w:t>
      </w:r>
    </w:p>
    <w:p>
      <w:pPr>
        <w:pStyle w:val="ListBullet"/>
      </w:pPr>
      <w:r>
        <w:t>Cele przetwarzania: obsługa zapytania, kontakt handlowy oraz umówienie i realizacja jazdy próbnej.</w:t>
      </w:r>
    </w:p>
    <w:p>
      <w:pPr>
        <w:pStyle w:val="ListBullet"/>
      </w:pPr>
      <w:r>
        <w:t>Podstawy prawne: art. 6 ust. 1 lit. b RODO (działania przed zawarciem umowy) oraz art. 6 ust. 1 lit. f RODO (prawnie uzasadniony interes — obsługa leada i doskonalenie jakości); w zakresie marketingu — art. 6 ust. 1 lit. a RODO (zgoda).</w:t>
      </w:r>
    </w:p>
    <w:p>
      <w:pPr>
        <w:pStyle w:val="ListBullet"/>
      </w:pPr>
      <w:r>
        <w:t>Rozmowa może być prowadzona z udziałem asystenta głosowego AI oraz nagrywana i transkrybowana w celu obsługi i poprawy jakości.</w:t>
      </w:r>
    </w:p>
    <w:p>
      <w:pPr>
        <w:pStyle w:val="ListBullet"/>
      </w:pPr>
      <w:r>
        <w:t>Odbiorcy danych: podmioty przetwarzające wspierające obsługę (dostawcy AI, telefonii, transkrypcji, hostingu/IT). Dane mogą być przekazywane poza EOG na podstawie EU–US DPF / standardowych klauzul umownych (SCC).</w:t>
      </w:r>
    </w:p>
    <w:p>
      <w:pPr>
        <w:pStyle w:val="ListBullet"/>
      </w:pPr>
      <w:r>
        <w:t>Okres przechowywania: do czasu obsługi sprawy i upływu terminów przedawnienia roszczeń; nagrania — nie dłużej niż [DO UZUPEŁNIENIA].</w:t>
      </w:r>
    </w:p>
    <w:p>
      <w:pPr>
        <w:pStyle w:val="ListBullet"/>
      </w:pPr>
      <w:r>
        <w:t>Prawa: dostęp, sprostowanie, usunięcie, ograniczenie, przenoszenie, sprzeciw, cofnięcie zgody oraz skarga do Prezesa UODO.</w:t>
      </w:r>
    </w:p>
    <w:p>
      <w:pPr>
        <w:pStyle w:val="ListBullet"/>
      </w:pPr>
      <w:r>
        <w:t>Podanie danych jest dobrowolne, lecz niezbędne do obsługi zapytania. Dane nie służą do zautomatyzowanego podejmowania decyzji wywołujących skutki prawne (art. 22 RODO).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